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10E" w:rsidRPr="00E8110E" w:rsidRDefault="00E8110E" w:rsidP="00E8110E">
      <w:pPr>
        <w:pStyle w:val="Heading1"/>
      </w:pPr>
      <w:r w:rsidRPr="00E8110E">
        <w:t xml:space="preserve">Legal Aspects of Doing Business in the European Union – Which Court </w:t>
      </w:r>
      <w:proofErr w:type="gramStart"/>
      <w:r w:rsidRPr="00E8110E">
        <w:t>Decides</w:t>
      </w:r>
      <w:proofErr w:type="gramEnd"/>
      <w:r w:rsidRPr="00E8110E">
        <w:t xml:space="preserve"> a Dispute?</w:t>
      </w:r>
    </w:p>
    <w:p w:rsidR="00E8110E" w:rsidRPr="00E8110E" w:rsidRDefault="00E8110E" w:rsidP="00E8110E">
      <w:r w:rsidRPr="00E8110E">
        <w:t>Free movement of persons, services and capital in the European Union means that businesses more frequently enter into contractual relationships with business partners from other EU member states. However, businessmen often do not realize that they may be sued by their business partners abroad. Consequently, the question arises as to which court will decide on a dispute arising from this contractual relationship.</w:t>
      </w:r>
    </w:p>
    <w:p w:rsidR="00E8110E" w:rsidRDefault="00E8110E" w:rsidP="00E8110E">
      <w:r w:rsidRPr="00E8110E">
        <w:t>In the European Union court jurisdiction is determined according to unified rules. Unless the parties choose another method of solving a dispute (such as arbitration) or determine in a contract which court has jurisdiction to decide a dispute, the court is determined based on Council Regulation (EC) 44/2001, on Jurisdiction and the Recognition and Enforcement of Judgments in Civil and Commercial Matters known as Regulation Brussels I (“Regulation”). The Regulation applies to civil and commercial matters, not to tax, customs and administrative proceedings.</w:t>
      </w:r>
    </w:p>
    <w:p w:rsidR="00E8110E" w:rsidRDefault="00E8110E" w:rsidP="00E8110E">
      <w:r w:rsidRPr="00E8110E">
        <w:t>Under the Regulation the contractual arrangement of the parties is the most decisive. The parties may not, however, exclude the provision on the exclusive power which exists mainly in matters related to real estate ownership and leases. In principle, it is possible, and purposeful, as will be indicated later, to determine with binding effect when signing a contract which courts (for example Czech, Slovak or Austrian) are to solve a potential dispute between the parties. However, practice indicates that these matters are not resolved in major contracts. If a dispute concerning the performance or validity of a contract arises between parties from different EU member states and the contract does not define which court has jurisdiction to solve it, the rules in the Regulation will apply.</w:t>
      </w:r>
    </w:p>
    <w:p w:rsidR="00E8110E" w:rsidRDefault="00E8110E" w:rsidP="00E8110E">
      <w:r w:rsidRPr="00E8110E">
        <w:t xml:space="preserve">Basically, the Regulation stipulates four types of rules for determining the jurisprudence: common rule, alternative rule, exclusive jurisdiction (this applies to proceedings which have as their object rights </w:t>
      </w:r>
      <w:r w:rsidRPr="00E8110E">
        <w:rPr>
          <w:i/>
        </w:rPr>
        <w:t xml:space="preserve">in </w:t>
      </w:r>
      <w:proofErr w:type="spellStart"/>
      <w:r w:rsidRPr="00E8110E">
        <w:rPr>
          <w:i/>
        </w:rPr>
        <w:t>rem</w:t>
      </w:r>
      <w:proofErr w:type="spellEnd"/>
      <w:r w:rsidRPr="00E8110E">
        <w:t xml:space="preserve"> in immovable property, the validity of the foundation or dissolution of companies, the validity of resolutions of company bodies, the validity of entries in public </w:t>
      </w:r>
      <w:r w:rsidRPr="00E8110E">
        <w:lastRenderedPageBreak/>
        <w:t>registers and the validity of patents, trademarks and designs – in these cases courts of the member state in which the related property is located, the company in which a party to the proceedings has its seat or the relevant register is kept) and special jurisdiction (in the case of individual employment and consumer contracts and in matters relating to insurance). The last two rules are preferred over determining the jurisdiction of a court based on th</w:t>
      </w:r>
      <w:r>
        <w:t xml:space="preserve">e common or alternative rules. </w:t>
      </w:r>
    </w:p>
    <w:p w:rsidR="00E8110E" w:rsidRDefault="00E8110E" w:rsidP="00E8110E">
      <w:pPr>
        <w:pStyle w:val="Heading2"/>
      </w:pPr>
      <w:r>
        <w:t>Common rule</w:t>
      </w:r>
    </w:p>
    <w:p w:rsidR="00E8110E" w:rsidRDefault="00E8110E" w:rsidP="00E8110E">
      <w:r w:rsidRPr="00E8110E">
        <w:t xml:space="preserve">Under the common rule the courts of an EU member state where the defendant (a natural person) is resident or has its registered seat or place of business (sole entrepreneur and legal entity) have primary jurisdiction. A contracting partner may be sued in a member state other than determined by the common rule only in the limited types of cases included in the Regulation under the alternative rules </w:t>
      </w:r>
      <w:r>
        <w:t xml:space="preserve">of court jurisdiction. </w:t>
      </w:r>
    </w:p>
    <w:p w:rsidR="00E8110E" w:rsidRDefault="00E8110E" w:rsidP="00E8110E">
      <w:pPr>
        <w:pStyle w:val="Heading2"/>
      </w:pPr>
      <w:r w:rsidRPr="00E8110E">
        <w:t>Alternat</w:t>
      </w:r>
      <w:r>
        <w:t>ive rules of court jurisdiction</w:t>
      </w:r>
    </w:p>
    <w:p w:rsidR="00E8110E" w:rsidRDefault="00E8110E" w:rsidP="00E8110E">
      <w:r w:rsidRPr="00E8110E">
        <w:t xml:space="preserve">In cases of contracts or claims arising under contracts, except for employment contracts, the plaintiff may choose to file an action with a court in the place of residence or place of business of the defendant or in the member state where the contract was or is to be performed. The Regulation stipulates the place of performance of a contract on the sale of goods and a service contract, unless the parties do not agree otherwise in the contract. In the case of a sale of goods the place of performance under the Regulation is the place where the goods under the contract were or should have been delivered and in the case of a service contract it is the place where the services under the contract were or should have been rendered. However, this rule applies only if the place of performance is in an EU member state. In the contract, the parties may agree on another place of performance by stating the relevant place (for example, the buyer’s warehouse) or by reference to commercial usage. The parties may not stipulate a place which does not relate to the contract in any manner whatsoever and whose sole purpose is to constitute the competence of a particular court. </w:t>
      </w:r>
      <w:r w:rsidRPr="00E8110E">
        <w:br/>
      </w:r>
      <w:r w:rsidRPr="00E8110E">
        <w:br/>
        <w:t xml:space="preserve">In the case of contracts other than purchase and service contracts a national court decides on the place of their performance. If the place of performance may not be determined at all or if several places of </w:t>
      </w:r>
      <w:r w:rsidRPr="00E8110E">
        <w:lastRenderedPageBreak/>
        <w:t>performance are determined, the court in the place where the defendant has its registered seat or is resident is, in European Court of Justice’s opinion, competent in the matter.</w:t>
      </w:r>
    </w:p>
    <w:p w:rsidR="00E8110E" w:rsidRDefault="00E8110E" w:rsidP="00E8110E">
      <w:r w:rsidRPr="00E8110E">
        <w:t>This means in practice that if a French manufacturer and a Polish client enter into a contract on deliveries of goods to Poland and do not define the jurisdiction of a particular court in the contract and the contract is breached by the French manufacturer, the Polish business partner is entitled, at its own discretion, to sue the manufacturer in France (supplier’s registered seat) or in Poland (place of delivery of the goods). However, if the contract is breached by the Polish company, only Polish courts are competent. When applying this alternative rule for determining the competent court the plaintiff may choose which EU member state is more favourable for it to litigate in. Usually this is the plaintiff’s home state, if the local court may be chos</w:t>
      </w:r>
      <w:r>
        <w:t xml:space="preserve">en under the alternative rule. </w:t>
      </w:r>
    </w:p>
    <w:p w:rsidR="00E8110E" w:rsidRDefault="00E8110E" w:rsidP="00E8110E">
      <w:pPr>
        <w:pStyle w:val="Heading2"/>
      </w:pPr>
      <w:r w:rsidRPr="00E8110E">
        <w:t>Conflict between th</w:t>
      </w:r>
      <w:r>
        <w:t xml:space="preserve">e common and alternative rules </w:t>
      </w:r>
    </w:p>
    <w:p w:rsidR="00E8110E" w:rsidRDefault="00E8110E" w:rsidP="00E8110E">
      <w:r w:rsidRPr="00E8110E">
        <w:t xml:space="preserve">The common rule and the alternative rule may refer to different courts of EU member states. The plaintiff may thus decide where to sue the defendant. The plaintiff’s decision will be affected by different criteria, such as the costs of proceedings held in another state, the procedural rules of a foreign court and the language of the proceedings. The location of the defendant’s assets should also play a significant role in the plaintiff’s decision. If the defendant’s assets are located only in the state of the defendant’s registered office or residence, the plaintiff must consider that a decision issued in another state will have to be recognized and enforced, </w:t>
      </w:r>
      <w:r>
        <w:t xml:space="preserve">if applicable, in this state. </w:t>
      </w:r>
    </w:p>
    <w:p w:rsidR="00E8110E" w:rsidRDefault="00E8110E" w:rsidP="00E8110E">
      <w:pPr>
        <w:pStyle w:val="Heading2"/>
      </w:pPr>
      <w:r>
        <w:t>Related disputes</w:t>
      </w:r>
    </w:p>
    <w:p w:rsidR="00E8110E" w:rsidRDefault="00E8110E" w:rsidP="00E8110E">
      <w:r w:rsidRPr="00E8110E">
        <w:t>If court proceedings between the same parties relating to the same matter are commenced before the courts of different EU member states, then the court before which the relevant proceedings were commenced later is obliged to suspend them until a decision is taken on the jurisdiction of the court where the petition initiating a suit was submitted earlier. If the court where the earlier petition initiating a suit was filed acknowledges its competence, other courts are obliged to give their competence. This principle prevents contradictory decisions on an identical action being reached by cour</w:t>
      </w:r>
      <w:r>
        <w:t xml:space="preserve">ts from several member states. </w:t>
      </w:r>
    </w:p>
    <w:p w:rsidR="00E8110E" w:rsidRDefault="00E8110E" w:rsidP="00E8110E">
      <w:pPr>
        <w:pStyle w:val="Heading2"/>
      </w:pPr>
      <w:r w:rsidRPr="00E8110E">
        <w:lastRenderedPageBreak/>
        <w:t>Proceedings aga</w:t>
      </w:r>
      <w:r>
        <w:t xml:space="preserve">inst a third party </w:t>
      </w:r>
    </w:p>
    <w:p w:rsidR="00E8110E" w:rsidRDefault="00E8110E" w:rsidP="00E8110E">
      <w:r w:rsidRPr="00E8110E">
        <w:t>Last but not least, frequent cases when a seller sells goods to a buyer who resells them subsequently to another entity (final user) must be mentioned. For example, a Czech company sells machinery accessories to a Swiss company. The Swiss company (machinery manufacturer) installs accessories in the machinery and sells the complete product to a French company. If damage is incurred due to a failure of the machinery, the French company may sue its direct supplier (the Swiss company) in Switzerland (where the defendant’s registered seat or residence is) or in France (if France is the place of performance). However, the supplier will often, in an effort to release itself from liability, determine the manufacturer or the supplier of a component (in our case machinery accessories and the Czech company) as the person liable for the damage and sue this company in the court where the proceedings against the supplier are being held (in our case Switzerland or France).</w:t>
      </w:r>
    </w:p>
    <w:p w:rsidR="00E8110E" w:rsidRDefault="00E8110E" w:rsidP="00E8110E">
      <w:r w:rsidRPr="00E8110E">
        <w:t>This procedure is enabled by the Regulation under certain observed conditions. These are the so-called proceedings against a third party when the defendant, after an action is filed against it, files an action against a third party to release itself from its own liability if the defendant believes that if it fails in the major proceedings, it has the right of recourse in relation to a third party based on a warranty or guarantee. The court where the original action was filed is the court competent to decide on this action, but only on condition that the original proceedings and the proceedings against a third party are connected. These proceedings may not be commenced purposefully only with the aim of depriving the third party from a court in the place of its registered seat or residence. This connection is assessed by the court before which the proceedings concerning the original action commenced and for this reason it may not be ruled out that a foreign court may ascertain a connection in cases in which no connection would be ascertained by a Czech court.</w:t>
      </w:r>
    </w:p>
    <w:p w:rsidR="003313FA" w:rsidRDefault="00E8110E">
      <w:r w:rsidRPr="00E8110E">
        <w:t>Consequently, under the Regulation, a Czech company may be sued abroad without having any direct contractual relationship with a foreign partner or having breached any contractual obligation. Typically these are the cases when a Czech company sells goods to another Czech company which further resells them to a foreign entity seated in the European Union.</w:t>
      </w:r>
    </w:p>
    <w:sectPr w:rsidR="003313FA" w:rsidSect="00E8110E">
      <w:pgSz w:w="11906" w:h="16838"/>
      <w:pgMar w:top="720" w:right="720" w:bottom="720" w:left="720" w:header="708" w:footer="708" w:gutter="0"/>
      <w:cols w:num="2"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8110E"/>
    <w:rsid w:val="003313FA"/>
    <w:rsid w:val="00E8110E"/>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0E"/>
    <w:pPr>
      <w:jc w:val="both"/>
    </w:pPr>
  </w:style>
  <w:style w:type="paragraph" w:styleId="Heading1">
    <w:name w:val="heading 1"/>
    <w:basedOn w:val="Normal"/>
    <w:next w:val="Normal"/>
    <w:link w:val="Heading1Char"/>
    <w:uiPriority w:val="9"/>
    <w:qFormat/>
    <w:rsid w:val="00E811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811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10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8110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574360316">
      <w:bodyDiv w:val="1"/>
      <w:marLeft w:val="0"/>
      <w:marRight w:val="0"/>
      <w:marTop w:val="0"/>
      <w:marBottom w:val="0"/>
      <w:divBdr>
        <w:top w:val="none" w:sz="0" w:space="0" w:color="auto"/>
        <w:left w:val="none" w:sz="0" w:space="0" w:color="auto"/>
        <w:bottom w:val="none" w:sz="0" w:space="0" w:color="auto"/>
        <w:right w:val="none" w:sz="0" w:space="0" w:color="auto"/>
      </w:divBdr>
    </w:div>
    <w:div w:id="1062025878">
      <w:bodyDiv w:val="1"/>
      <w:marLeft w:val="0"/>
      <w:marRight w:val="0"/>
      <w:marTop w:val="0"/>
      <w:marBottom w:val="0"/>
      <w:divBdr>
        <w:top w:val="none" w:sz="0" w:space="0" w:color="auto"/>
        <w:left w:val="none" w:sz="0" w:space="0" w:color="auto"/>
        <w:bottom w:val="none" w:sz="0" w:space="0" w:color="auto"/>
        <w:right w:val="none" w:sz="0" w:space="0" w:color="auto"/>
      </w:divBdr>
      <w:divsChild>
        <w:div w:id="1588423827">
          <w:marLeft w:val="0"/>
          <w:marRight w:val="0"/>
          <w:marTop w:val="0"/>
          <w:marBottom w:val="0"/>
          <w:divBdr>
            <w:top w:val="none" w:sz="0" w:space="0" w:color="auto"/>
            <w:left w:val="none" w:sz="0" w:space="0" w:color="auto"/>
            <w:bottom w:val="none" w:sz="0" w:space="0" w:color="auto"/>
            <w:right w:val="none" w:sz="0" w:space="0" w:color="auto"/>
          </w:divBdr>
        </w:div>
        <w:div w:id="91166420">
          <w:marLeft w:val="0"/>
          <w:marRight w:val="0"/>
          <w:marTop w:val="0"/>
          <w:marBottom w:val="0"/>
          <w:divBdr>
            <w:top w:val="none" w:sz="0" w:space="0" w:color="auto"/>
            <w:left w:val="none" w:sz="0" w:space="0" w:color="auto"/>
            <w:bottom w:val="none" w:sz="0" w:space="0" w:color="auto"/>
            <w:right w:val="none" w:sz="0" w:space="0" w:color="auto"/>
          </w:divBdr>
        </w:div>
      </w:divsChild>
    </w:div>
    <w:div w:id="1069352933">
      <w:bodyDiv w:val="1"/>
      <w:marLeft w:val="0"/>
      <w:marRight w:val="0"/>
      <w:marTop w:val="0"/>
      <w:marBottom w:val="0"/>
      <w:divBdr>
        <w:top w:val="none" w:sz="0" w:space="0" w:color="auto"/>
        <w:left w:val="none" w:sz="0" w:space="0" w:color="auto"/>
        <w:bottom w:val="none" w:sz="0" w:space="0" w:color="auto"/>
        <w:right w:val="none" w:sz="0" w:space="0" w:color="auto"/>
      </w:divBdr>
    </w:div>
    <w:div w:id="1298727021">
      <w:bodyDiv w:val="1"/>
      <w:marLeft w:val="0"/>
      <w:marRight w:val="0"/>
      <w:marTop w:val="0"/>
      <w:marBottom w:val="0"/>
      <w:divBdr>
        <w:top w:val="none" w:sz="0" w:space="0" w:color="auto"/>
        <w:left w:val="none" w:sz="0" w:space="0" w:color="auto"/>
        <w:bottom w:val="none" w:sz="0" w:space="0" w:color="auto"/>
        <w:right w:val="none" w:sz="0" w:space="0" w:color="auto"/>
      </w:divBdr>
      <w:divsChild>
        <w:div w:id="1291286233">
          <w:marLeft w:val="0"/>
          <w:marRight w:val="0"/>
          <w:marTop w:val="0"/>
          <w:marBottom w:val="0"/>
          <w:divBdr>
            <w:top w:val="none" w:sz="0" w:space="0" w:color="auto"/>
            <w:left w:val="none" w:sz="0" w:space="0" w:color="auto"/>
            <w:bottom w:val="none" w:sz="0" w:space="0" w:color="auto"/>
            <w:right w:val="none" w:sz="0" w:space="0" w:color="auto"/>
          </w:divBdr>
        </w:div>
        <w:div w:id="1217858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1402</Words>
  <Characters>7996</Characters>
  <Application>Microsoft Office Word</Application>
  <DocSecurity>0</DocSecurity>
  <Lines>66</Lines>
  <Paragraphs>18</Paragraphs>
  <ScaleCrop>false</ScaleCrop>
  <Company/>
  <LinksUpToDate>false</LinksUpToDate>
  <CharactersWithSpaces>9380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Douglas</dc:creator>
  <cp:keywords/>
  <dc:description/>
  <cp:lastModifiedBy>Niall Douglas</cp:lastModifiedBy>
  <cp:revision>2</cp:revision>
  <dcterms:created xsi:type="dcterms:W3CDTF">2011-02-25T01:59:00Z</dcterms:created>
  <dcterms:modified xsi:type="dcterms:W3CDTF">2011-02-25T02:08:00Z</dcterms:modified>
</cp:coreProperties>
</file>